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471E" w14:textId="67D1C49C" w:rsidR="00822ACC" w:rsidRDefault="00A81E4E" w:rsidP="00116CA6">
      <w:pPr>
        <w:spacing w:after="0" w:line="240" w:lineRule="auto"/>
        <w:jc w:val="both"/>
        <w:rPr>
          <w:b/>
          <w:bCs/>
          <w:sz w:val="32"/>
          <w:szCs w:val="32"/>
        </w:rPr>
      </w:pPr>
      <w:r w:rsidRPr="00A81E4E">
        <w:rPr>
          <w:b/>
          <w:bCs/>
          <w:sz w:val="32"/>
          <w:szCs w:val="32"/>
        </w:rPr>
        <w:t xml:space="preserve">Job Posting: </w:t>
      </w:r>
      <w:r w:rsidR="0093125C">
        <w:rPr>
          <w:b/>
          <w:bCs/>
          <w:sz w:val="32"/>
          <w:szCs w:val="32"/>
        </w:rPr>
        <w:t>Superintendent, Northwest Golf Course</w:t>
      </w:r>
    </w:p>
    <w:p w14:paraId="2341B495" w14:textId="3BE7D342" w:rsidR="00D64DD1" w:rsidRDefault="00116CA6" w:rsidP="00116CA6">
      <w:pPr>
        <w:spacing w:after="0" w:line="240" w:lineRule="auto"/>
        <w:jc w:val="both"/>
      </w:pPr>
      <w:r>
        <w:t>The Montgomery County Revenue Authority (MCRA)</w:t>
      </w:r>
      <w:r w:rsidR="00332ADB" w:rsidRPr="00332ADB">
        <w:rPr>
          <w:color w:val="000000"/>
          <w:sz w:val="27"/>
          <w:szCs w:val="27"/>
        </w:rPr>
        <w:t xml:space="preserve"> </w:t>
      </w:r>
      <w:r w:rsidR="00332ADB" w:rsidRPr="00332ADB">
        <w:t>has an opportunity to join a dynamic team!</w:t>
      </w:r>
      <w:r w:rsidR="00EA75DB">
        <w:t xml:space="preserve">  MCRA was</w:t>
      </w:r>
      <w:r>
        <w:t xml:space="preserve"> created in 1957 </w:t>
      </w:r>
      <w:r w:rsidR="00B962FE">
        <w:t>a</w:t>
      </w:r>
      <w:r>
        <w:t xml:space="preserve">s an instrumentality of Montgomery County and a public corporation.  The MCRA has two primary functions, one is to operate self-supporting public facilities, and the other is to finance public facilities.  On the operations side, the MCRA directly manages the Golf Course System </w:t>
      </w:r>
      <w:r w:rsidR="003C0798">
        <w:t xml:space="preserve">(of 9 golf courses) </w:t>
      </w:r>
      <w:r>
        <w:t>and operates the Montgomery County Airpark.</w:t>
      </w:r>
    </w:p>
    <w:p w14:paraId="38669818" w14:textId="77777777" w:rsidR="00E675F3" w:rsidRDefault="00E675F3" w:rsidP="00E675F3">
      <w:pPr>
        <w:spacing w:after="0" w:line="240" w:lineRule="auto"/>
        <w:jc w:val="both"/>
      </w:pPr>
    </w:p>
    <w:p w14:paraId="1AF70AF7" w14:textId="492E8F8E" w:rsidR="0093125C" w:rsidRDefault="00852998" w:rsidP="0093125C">
      <w:pPr>
        <w:spacing w:after="0" w:line="240" w:lineRule="auto"/>
        <w:jc w:val="both"/>
        <w:rPr>
          <w:rFonts w:eastAsia="Times New Roman" w:cstheme="minorHAnsi"/>
        </w:rPr>
      </w:pPr>
      <w:r>
        <w:t>M</w:t>
      </w:r>
      <w:r w:rsidR="00DC3B8A">
        <w:t>CRA</w:t>
      </w:r>
      <w:r w:rsidR="006A596C">
        <w:t xml:space="preserve">’s </w:t>
      </w:r>
      <w:r w:rsidR="00810B6C">
        <w:t>Montgomery County Golf (MCG)</w:t>
      </w:r>
      <w:r w:rsidR="00DC3B8A">
        <w:t xml:space="preserve"> </w:t>
      </w:r>
      <w:r w:rsidR="00441237">
        <w:t xml:space="preserve">division </w:t>
      </w:r>
      <w:r w:rsidR="009B65C5">
        <w:t xml:space="preserve">has </w:t>
      </w:r>
      <w:r w:rsidR="00040257">
        <w:t>an</w:t>
      </w:r>
      <w:r w:rsidR="00811A75">
        <w:t xml:space="preserve"> opening</w:t>
      </w:r>
      <w:r w:rsidR="009843F7">
        <w:t xml:space="preserve"> for </w:t>
      </w:r>
      <w:r w:rsidR="00040257">
        <w:t>a</w:t>
      </w:r>
      <w:r w:rsidR="0093125C">
        <w:t xml:space="preserve"> </w:t>
      </w:r>
      <w:r w:rsidR="006F5335">
        <w:t xml:space="preserve">Golf Course </w:t>
      </w:r>
      <w:r w:rsidR="0093125C">
        <w:t>Superintendent</w:t>
      </w:r>
      <w:r w:rsidR="00040257">
        <w:t>.</w:t>
      </w:r>
      <w:r w:rsidR="0093125C">
        <w:t xml:space="preserve">  </w:t>
      </w:r>
      <w:r w:rsidR="0093125C" w:rsidRPr="0093125C">
        <w:rPr>
          <w:rFonts w:eastAsia="Times New Roman" w:cstheme="minorHAnsi"/>
        </w:rPr>
        <w:t>Northwest GC</w:t>
      </w:r>
      <w:r w:rsidR="006F5335">
        <w:rPr>
          <w:rFonts w:eastAsia="Times New Roman" w:cstheme="minorHAnsi"/>
        </w:rPr>
        <w:t xml:space="preserve">, </w:t>
      </w:r>
      <w:r w:rsidR="0093125C" w:rsidRPr="0093125C">
        <w:rPr>
          <w:rFonts w:eastAsia="Times New Roman" w:cstheme="minorHAnsi"/>
        </w:rPr>
        <w:t>an Audubon International Certified Cooperative Sanctuary</w:t>
      </w:r>
      <w:r w:rsidR="006F5335">
        <w:rPr>
          <w:rFonts w:eastAsia="Times New Roman" w:cstheme="minorHAnsi"/>
        </w:rPr>
        <w:t>, is a</w:t>
      </w:r>
      <w:r w:rsidR="0093125C" w:rsidRPr="0093125C">
        <w:rPr>
          <w:rFonts w:eastAsia="Times New Roman" w:cstheme="minorHAnsi"/>
        </w:rPr>
        <w:t xml:space="preserve"> 27-hole facility constructed in 1964, when the course length was well ahead of its time as a 7,400-yard championship golf course.  The course features bent/poa greens, ryegrass fairways and </w:t>
      </w:r>
      <w:r w:rsidR="006F5335">
        <w:rPr>
          <w:rFonts w:eastAsia="Times New Roman" w:cstheme="minorHAnsi"/>
        </w:rPr>
        <w:t>hybrid bermuda</w:t>
      </w:r>
      <w:r w:rsidR="0093125C" w:rsidRPr="0093125C">
        <w:rPr>
          <w:rFonts w:eastAsia="Times New Roman" w:cstheme="minorHAnsi"/>
        </w:rPr>
        <w:t xml:space="preserve">/ryegrass tees.  </w:t>
      </w:r>
      <w:hyperlink r:id="rId5" w:history="1">
        <w:r w:rsidR="0093125C" w:rsidRPr="0093125C">
          <w:rPr>
            <w:rStyle w:val="Hyperlink"/>
            <w:rFonts w:eastAsia="Times New Roman" w:cstheme="minorHAnsi"/>
          </w:rPr>
          <w:t>Footgolf</w:t>
        </w:r>
      </w:hyperlink>
      <w:r w:rsidR="0093125C" w:rsidRPr="0093125C">
        <w:rPr>
          <w:rFonts w:eastAsia="Times New Roman" w:cstheme="minorHAnsi"/>
        </w:rPr>
        <w:t xml:space="preserve"> is also available to play on the Inner 9 at Northwest.  Fully lighted and heated driving range.  Additional course information here: </w:t>
      </w:r>
      <w:hyperlink r:id="rId6" w:history="1">
        <w:r w:rsidR="0093125C" w:rsidRPr="0093125C">
          <w:rPr>
            <w:rStyle w:val="Hyperlink"/>
            <w:rFonts w:eastAsia="Times New Roman" w:cstheme="minorHAnsi"/>
          </w:rPr>
          <w:t>https://www.mcggolf.com/Courses/Northwest.aspx</w:t>
        </w:r>
      </w:hyperlink>
      <w:r w:rsidR="0093125C" w:rsidRPr="0093125C">
        <w:rPr>
          <w:rFonts w:eastAsia="Times New Roman" w:cstheme="minorHAnsi"/>
        </w:rPr>
        <w:t xml:space="preserve">. </w:t>
      </w:r>
    </w:p>
    <w:p w14:paraId="2733065E" w14:textId="77777777" w:rsidR="0093125C" w:rsidRPr="0093125C" w:rsidRDefault="0093125C" w:rsidP="0093125C">
      <w:pPr>
        <w:spacing w:after="0" w:line="240" w:lineRule="auto"/>
        <w:jc w:val="both"/>
        <w:rPr>
          <w:rFonts w:eastAsia="Times New Roman" w:cstheme="minorHAnsi"/>
        </w:rPr>
      </w:pPr>
    </w:p>
    <w:p w14:paraId="09989146" w14:textId="1893F942" w:rsidR="00E90789" w:rsidRPr="00E90789" w:rsidRDefault="0093125C" w:rsidP="00E90789">
      <w:pPr>
        <w:spacing w:after="0" w:line="240" w:lineRule="auto"/>
        <w:jc w:val="both"/>
        <w:rPr>
          <w:rFonts w:eastAsia="Times New Roman" w:cstheme="minorHAnsi"/>
        </w:rPr>
      </w:pPr>
      <w:r w:rsidRPr="0093125C">
        <w:rPr>
          <w:rFonts w:eastAsia="Times New Roman" w:cstheme="minorHAnsi"/>
        </w:rPr>
        <w:t xml:space="preserve">MCRA emphasizes a team environment, so equipment and staff sharing between the 9 courses can be done during project or aeration season as available.   We want to create an environment that balances hard work, safety, and fun in creating great playing conditions </w:t>
      </w:r>
      <w:r w:rsidR="00D47E9B" w:rsidRPr="0093125C">
        <w:rPr>
          <w:rFonts w:eastAsia="Times New Roman" w:cstheme="minorHAnsi"/>
        </w:rPr>
        <w:t>daily</w:t>
      </w:r>
      <w:r w:rsidRPr="0093125C">
        <w:rPr>
          <w:rFonts w:eastAsia="Times New Roman" w:cstheme="minorHAnsi"/>
        </w:rPr>
        <w:t xml:space="preserve">!  Operational efficiency and attention to detail are important at Northwest in creating playing conditions that exceed expectations.  </w:t>
      </w:r>
      <w:r w:rsidR="00E90789">
        <w:rPr>
          <w:rFonts w:eastAsia="Times New Roman" w:cstheme="minorHAnsi"/>
        </w:rPr>
        <w:t>Basic duties of the Superintendent include, but are not limited to s</w:t>
      </w:r>
      <w:r w:rsidR="00E90789" w:rsidRPr="00E90789">
        <w:rPr>
          <w:rFonts w:eastAsia="Times New Roman" w:cstheme="minorHAnsi"/>
        </w:rPr>
        <w:t xml:space="preserve">taff leadership and management, pesticide and fertilizer application and scheduling, irrigation repair and troubleshooting, water management, employee training and safety, budget creation and execution, tree work, recordkeeping, </w:t>
      </w:r>
      <w:r w:rsidR="00A47018">
        <w:rPr>
          <w:rFonts w:eastAsia="Times New Roman" w:cstheme="minorHAnsi"/>
        </w:rPr>
        <w:t xml:space="preserve">oversight of equipment repair &amp; maintenance, acquisition of supplies and materials, and </w:t>
      </w:r>
      <w:r w:rsidR="00E90789" w:rsidRPr="00E90789">
        <w:rPr>
          <w:rFonts w:eastAsia="Times New Roman" w:cstheme="minorHAnsi"/>
        </w:rPr>
        <w:t>work directly with Northwest GC’s executive team to help lead a successful and sustainable business</w:t>
      </w:r>
      <w:r w:rsidR="00A47018">
        <w:rPr>
          <w:rFonts w:eastAsia="Times New Roman" w:cstheme="minorHAnsi"/>
        </w:rPr>
        <w:t xml:space="preserve"> and plan for the future</w:t>
      </w:r>
      <w:r w:rsidR="00E90789" w:rsidRPr="00E90789">
        <w:rPr>
          <w:rFonts w:eastAsia="Times New Roman" w:cstheme="minorHAnsi"/>
        </w:rPr>
        <w:t>.</w:t>
      </w:r>
    </w:p>
    <w:p w14:paraId="605C6147" w14:textId="77777777" w:rsidR="00CD6F13" w:rsidRDefault="00CD6F13" w:rsidP="00CD6F13">
      <w:pPr>
        <w:spacing w:after="0" w:line="240" w:lineRule="auto"/>
        <w:jc w:val="both"/>
        <w:rPr>
          <w:b/>
          <w:u w:val="single"/>
        </w:rPr>
      </w:pPr>
    </w:p>
    <w:p w14:paraId="1FA47530" w14:textId="0D3FB701" w:rsidR="00CD6F13" w:rsidRPr="00CD6F13" w:rsidRDefault="00CD6F13" w:rsidP="00CD6F13">
      <w:pPr>
        <w:spacing w:after="0" w:line="240" w:lineRule="auto"/>
        <w:jc w:val="both"/>
        <w:rPr>
          <w:u w:val="single"/>
        </w:rPr>
      </w:pPr>
      <w:r w:rsidRPr="00CD6F13">
        <w:rPr>
          <w:b/>
          <w:u w:val="single"/>
        </w:rPr>
        <w:t xml:space="preserve">Knowledge, </w:t>
      </w:r>
      <w:proofErr w:type="gramStart"/>
      <w:r w:rsidRPr="00CD6F13">
        <w:rPr>
          <w:b/>
          <w:u w:val="single"/>
        </w:rPr>
        <w:t>Skills</w:t>
      </w:r>
      <w:proofErr w:type="gramEnd"/>
      <w:r w:rsidRPr="00CD6F13">
        <w:rPr>
          <w:b/>
          <w:u w:val="single"/>
        </w:rPr>
        <w:t xml:space="preserve"> and Abilities:</w:t>
      </w:r>
    </w:p>
    <w:p w14:paraId="7DFE0B58" w14:textId="77777777" w:rsidR="00040257" w:rsidRPr="00040257" w:rsidRDefault="00040257" w:rsidP="00040257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040257">
        <w:rPr>
          <w:rFonts w:eastAsia="Times New Roman" w:cstheme="minorHAnsi"/>
        </w:rPr>
        <w:t>Proven interpersonal skills; ability to work well within a team environment and under pressure, adhering to frequent deadlines and juggling multiple tasks simultaneously.</w:t>
      </w:r>
    </w:p>
    <w:p w14:paraId="16061C38" w14:textId="58C692EC" w:rsidR="00040257" w:rsidRPr="00040257" w:rsidRDefault="00040257" w:rsidP="0004025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</w:rPr>
      </w:pPr>
      <w:r w:rsidRPr="00040257">
        <w:rPr>
          <w:rFonts w:eastAsia="Times New Roman" w:cstheme="minorHAnsi"/>
        </w:rPr>
        <w:t xml:space="preserve">Knowledge of word processing software; spreadsheet software; inventory software; </w:t>
      </w:r>
      <w:r w:rsidR="006F5335">
        <w:rPr>
          <w:rFonts w:eastAsia="Times New Roman" w:cstheme="minorHAnsi"/>
        </w:rPr>
        <w:t xml:space="preserve">and </w:t>
      </w:r>
      <w:r w:rsidRPr="00040257">
        <w:rPr>
          <w:rFonts w:eastAsia="Times New Roman" w:cstheme="minorHAnsi"/>
        </w:rPr>
        <w:t xml:space="preserve">payroll </w:t>
      </w:r>
      <w:proofErr w:type="gramStart"/>
      <w:r w:rsidRPr="00040257">
        <w:rPr>
          <w:rFonts w:eastAsia="Times New Roman" w:cstheme="minorHAnsi"/>
        </w:rPr>
        <w:t>systems;</w:t>
      </w:r>
      <w:proofErr w:type="gramEnd"/>
      <w:r w:rsidRPr="00040257">
        <w:rPr>
          <w:rFonts w:eastAsia="Times New Roman" w:cstheme="minorHAnsi"/>
        </w:rPr>
        <w:t xml:space="preserve"> </w:t>
      </w:r>
    </w:p>
    <w:p w14:paraId="43C62BD3" w14:textId="77777777" w:rsidR="00040257" w:rsidRPr="00040257" w:rsidRDefault="00040257" w:rsidP="0004025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</w:rPr>
      </w:pPr>
      <w:r w:rsidRPr="00040257">
        <w:rPr>
          <w:rFonts w:eastAsia="Times New Roman" w:cstheme="minorHAnsi"/>
        </w:rPr>
        <w:t>Ability to interpret a variety of instructions furnished in written, oral, diagram, or schedule form.</w:t>
      </w:r>
    </w:p>
    <w:p w14:paraId="248C17F1" w14:textId="1A15D629" w:rsidR="00040257" w:rsidRPr="00040257" w:rsidRDefault="00040257" w:rsidP="0004025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</w:rPr>
      </w:pPr>
      <w:r w:rsidRPr="00040257">
        <w:rPr>
          <w:rFonts w:eastAsia="Times New Roman" w:cstheme="minorHAnsi"/>
        </w:rPr>
        <w:t>Ability to calculate figures and amounts such as proportions, percentages, area, circumference, and volume</w:t>
      </w:r>
      <w:r w:rsidR="00E90789">
        <w:rPr>
          <w:rFonts w:eastAsia="Times New Roman" w:cstheme="minorHAnsi"/>
        </w:rPr>
        <w:t xml:space="preserve"> – with the a</w:t>
      </w:r>
      <w:r w:rsidRPr="00040257">
        <w:rPr>
          <w:rFonts w:eastAsia="Times New Roman" w:cstheme="minorHAnsi"/>
        </w:rPr>
        <w:t>bility to apply concepts of basic algebra and geometry.</w:t>
      </w:r>
    </w:p>
    <w:p w14:paraId="2D7F4DAC" w14:textId="4B1CFAAE" w:rsidR="00040257" w:rsidRDefault="00040257" w:rsidP="0004025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</w:rPr>
      </w:pPr>
      <w:r w:rsidRPr="00040257">
        <w:rPr>
          <w:rFonts w:eastAsia="Times New Roman" w:cstheme="minorHAnsi"/>
        </w:rPr>
        <w:t>Must be able to</w:t>
      </w:r>
      <w:r w:rsidR="00D47E9B">
        <w:rPr>
          <w:rFonts w:eastAsia="Times New Roman" w:cstheme="minorHAnsi"/>
        </w:rPr>
        <w:t xml:space="preserve"> occasionally</w:t>
      </w:r>
      <w:r w:rsidRPr="00040257">
        <w:rPr>
          <w:rFonts w:eastAsia="Times New Roman" w:cstheme="minorHAnsi"/>
        </w:rPr>
        <w:t xml:space="preserve"> lift and/or move up to </w:t>
      </w:r>
      <w:r w:rsidR="00D47E9B">
        <w:rPr>
          <w:rFonts w:eastAsia="Times New Roman" w:cstheme="minorHAnsi"/>
        </w:rPr>
        <w:t>10</w:t>
      </w:r>
      <w:r w:rsidRPr="00040257">
        <w:rPr>
          <w:rFonts w:eastAsia="Times New Roman" w:cstheme="minorHAnsi"/>
        </w:rPr>
        <w:t xml:space="preserve">0 pounds. </w:t>
      </w:r>
    </w:p>
    <w:p w14:paraId="31C9B77C" w14:textId="72E8E07C" w:rsidR="0061170F" w:rsidRPr="00040257" w:rsidRDefault="0061170F" w:rsidP="00040257">
      <w:pPr>
        <w:numPr>
          <w:ilvl w:val="0"/>
          <w:numId w:val="9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Spanish language ability very helpful but not required.</w:t>
      </w:r>
    </w:p>
    <w:p w14:paraId="0B6E0396" w14:textId="77777777" w:rsidR="006F5335" w:rsidRDefault="006F5335" w:rsidP="00BB29DC">
      <w:pPr>
        <w:spacing w:after="0" w:line="240" w:lineRule="auto"/>
        <w:jc w:val="both"/>
      </w:pPr>
    </w:p>
    <w:p w14:paraId="3A447518" w14:textId="1A460657" w:rsidR="00BB29DC" w:rsidRPr="00BB29DC" w:rsidRDefault="00116CA6" w:rsidP="00BB29DC">
      <w:pPr>
        <w:spacing w:after="0" w:line="240" w:lineRule="auto"/>
        <w:jc w:val="both"/>
        <w:rPr>
          <w:rFonts w:cstheme="minorHAnsi"/>
        </w:rPr>
      </w:pPr>
      <w:r>
        <w:t>MCRA</w:t>
      </w:r>
      <w:r w:rsidRPr="00116CA6">
        <w:t xml:space="preserve"> is seeking qualified applicants </w:t>
      </w:r>
      <w:r w:rsidR="0037417F" w:rsidRPr="00116CA6">
        <w:t>who</w:t>
      </w:r>
      <w:r w:rsidRPr="00116CA6">
        <w:t xml:space="preserve"> reflect and understand </w:t>
      </w:r>
      <w:r>
        <w:t>our</w:t>
      </w:r>
      <w:r w:rsidRPr="00116CA6">
        <w:t xml:space="preserve"> </w:t>
      </w:r>
      <w:r>
        <w:t xml:space="preserve">CORE </w:t>
      </w:r>
      <w:r w:rsidRPr="00116CA6">
        <w:t xml:space="preserve">VALUES of </w:t>
      </w:r>
      <w:r>
        <w:t>a Genuine Smile, Do Anything Attitude and Deliver Excellence</w:t>
      </w:r>
      <w:r w:rsidRPr="00116CA6">
        <w:t xml:space="preserve">. </w:t>
      </w:r>
      <w:r>
        <w:t xml:space="preserve">MCRA </w:t>
      </w:r>
      <w:r w:rsidRPr="00116CA6">
        <w:t>is a fast-paced, high-energy organization with an ambitious agenda and staff that is highly motivated.</w:t>
      </w:r>
      <w:r w:rsidR="00EC5FA4">
        <w:t xml:space="preserve"> </w:t>
      </w:r>
      <w:r w:rsidR="003C0798">
        <w:t xml:space="preserve"> </w:t>
      </w:r>
      <w:r w:rsidR="00C145BB" w:rsidRPr="00C145BB">
        <w:t xml:space="preserve">Qualified applicants may possess any combination of education and experience enabling them to successfully perform the responsibilities of the position. </w:t>
      </w:r>
      <w:r w:rsidR="00C145BB" w:rsidRPr="0061170F">
        <w:rPr>
          <w:b/>
          <w:bCs/>
          <w:u w:val="single"/>
        </w:rPr>
        <w:t>Preferred qualifications are:</w:t>
      </w:r>
      <w:r w:rsidR="00C145BB" w:rsidRPr="00C145BB">
        <w:t xml:space="preserve"> </w:t>
      </w:r>
      <w:r w:rsidR="00E90789">
        <w:rPr>
          <w:rFonts w:cstheme="minorHAnsi"/>
        </w:rPr>
        <w:t>s</w:t>
      </w:r>
      <w:r w:rsidR="00BB29DC" w:rsidRPr="00BB29DC">
        <w:rPr>
          <w:rFonts w:cstheme="minorHAnsi"/>
        </w:rPr>
        <w:t>uccessful completion of 2 or 4-year Turfgrass Management or Certificate Program from a recognized institution;</w:t>
      </w:r>
      <w:r w:rsidR="00BB29DC">
        <w:rPr>
          <w:rFonts w:cstheme="minorHAnsi"/>
        </w:rPr>
        <w:t xml:space="preserve"> m</w:t>
      </w:r>
      <w:r w:rsidR="00BB29DC" w:rsidRPr="00BB29DC">
        <w:rPr>
          <w:rFonts w:cstheme="minorHAnsi"/>
        </w:rPr>
        <w:t xml:space="preserve">inimum 3 years </w:t>
      </w:r>
      <w:r w:rsidR="00BB29DC">
        <w:rPr>
          <w:rFonts w:cstheme="minorHAnsi"/>
        </w:rPr>
        <w:t xml:space="preserve">of </w:t>
      </w:r>
      <w:r w:rsidR="00BB29DC" w:rsidRPr="00BB29DC">
        <w:rPr>
          <w:rFonts w:cstheme="minorHAnsi"/>
        </w:rPr>
        <w:t>experience in a golf course management role</w:t>
      </w:r>
      <w:r w:rsidR="00BB29DC">
        <w:rPr>
          <w:rFonts w:cstheme="minorHAnsi"/>
        </w:rPr>
        <w:t xml:space="preserve"> - </w:t>
      </w:r>
      <w:r w:rsidR="00BB29DC" w:rsidRPr="00BB29DC">
        <w:rPr>
          <w:rFonts w:cstheme="minorHAnsi"/>
        </w:rPr>
        <w:t>preferably at a golf course in the Mid-Atlantic Region; full competency with repair and maintenance irrigation system (Rain Bird experience preferable); must be Maryland Certified Pesticide and Fertilizer applicator (or become certified in 90 days) with extensive knowledge of disease and pest identification, use of spray equipment and recommended application practices; solid personnel management and leadership skills with an emphasis on creating a fun, team environment focused on efficiency; strong communication and computer skills preferred.</w:t>
      </w:r>
    </w:p>
    <w:p w14:paraId="6AACF0D7" w14:textId="2BB7BC4A" w:rsidR="00BB29DC" w:rsidRDefault="00BB29DC" w:rsidP="00BB29DC">
      <w:pPr>
        <w:spacing w:after="0" w:line="240" w:lineRule="auto"/>
        <w:jc w:val="both"/>
        <w:rPr>
          <w:rFonts w:cstheme="minorHAnsi"/>
        </w:rPr>
      </w:pPr>
    </w:p>
    <w:p w14:paraId="708CCEB8" w14:textId="609C809E" w:rsidR="00E90789" w:rsidRPr="00E90789" w:rsidRDefault="00E90789" w:rsidP="00E90789">
      <w:pPr>
        <w:spacing w:after="0" w:line="240" w:lineRule="auto"/>
        <w:jc w:val="both"/>
        <w:rPr>
          <w:rFonts w:cstheme="minorHAnsi"/>
        </w:rPr>
      </w:pPr>
      <w:r w:rsidRPr="00E90789">
        <w:rPr>
          <w:rFonts w:cstheme="minorHAnsi"/>
          <w:b/>
          <w:bCs/>
        </w:rPr>
        <w:t>MCRA offers and excellent county benefits package</w:t>
      </w:r>
      <w:r w:rsidRPr="00E90789">
        <w:rPr>
          <w:rFonts w:cstheme="minorHAnsi"/>
        </w:rPr>
        <w:t xml:space="preserve">: Health, Dental, Vision, Life Insurance; Prescription Plan, Flexible Spending Account, Long-term disability, 401(a) mandatory 4% employee contribution 8% company match after 6 months employment, 457 Deferred Compensation Plan, Free meals, Annual sick leave (80 </w:t>
      </w:r>
      <w:proofErr w:type="spellStart"/>
      <w:r w:rsidRPr="00E90789">
        <w:rPr>
          <w:rFonts w:cstheme="minorHAnsi"/>
        </w:rPr>
        <w:t>hrs</w:t>
      </w:r>
      <w:proofErr w:type="spellEnd"/>
      <w:r w:rsidRPr="00E90789">
        <w:rPr>
          <w:rFonts w:cstheme="minorHAnsi"/>
        </w:rPr>
        <w:t xml:space="preserve">), Annual vacation Leave (80 </w:t>
      </w:r>
      <w:proofErr w:type="spellStart"/>
      <w:r w:rsidRPr="00E90789">
        <w:rPr>
          <w:rFonts w:cstheme="minorHAnsi"/>
        </w:rPr>
        <w:t>hrs</w:t>
      </w:r>
      <w:proofErr w:type="spellEnd"/>
      <w:r w:rsidRPr="00E90789">
        <w:rPr>
          <w:rFonts w:cstheme="minorHAnsi"/>
        </w:rPr>
        <w:t xml:space="preserve">), </w:t>
      </w:r>
      <w:r>
        <w:rPr>
          <w:rFonts w:cstheme="minorHAnsi"/>
        </w:rPr>
        <w:t xml:space="preserve">FREE </w:t>
      </w:r>
      <w:r w:rsidRPr="00E90789">
        <w:rPr>
          <w:rFonts w:cstheme="minorHAnsi"/>
        </w:rPr>
        <w:t>Golf at 9 MCG courses, GCSAA and MAAGCS dues, Local, regional, and national education events, Merchandise discounts (cost plus 10%), company truck provided.</w:t>
      </w:r>
    </w:p>
    <w:p w14:paraId="42BF2F29" w14:textId="77777777" w:rsidR="00E90789" w:rsidRPr="00BB29DC" w:rsidRDefault="00E90789" w:rsidP="00BB29DC">
      <w:pPr>
        <w:spacing w:after="0" w:line="240" w:lineRule="auto"/>
        <w:jc w:val="both"/>
        <w:rPr>
          <w:rFonts w:cstheme="minorHAnsi"/>
        </w:rPr>
      </w:pPr>
    </w:p>
    <w:p w14:paraId="6A5971EC" w14:textId="521DB239" w:rsidR="00116CA6" w:rsidRDefault="00841ABE" w:rsidP="00116CA6">
      <w:pPr>
        <w:spacing w:after="0" w:line="240" w:lineRule="auto"/>
        <w:jc w:val="both"/>
      </w:pPr>
      <w:r w:rsidRPr="00841ABE">
        <w:rPr>
          <w:b/>
          <w:bCs/>
          <w:u w:val="single"/>
        </w:rPr>
        <w:t>TO APPLY</w:t>
      </w:r>
      <w:r w:rsidR="00E75760" w:rsidRPr="00C259AF">
        <w:rPr>
          <w:b/>
          <w:bCs/>
        </w:rPr>
        <w:t>:</w:t>
      </w:r>
      <w:r w:rsidR="00E06E24">
        <w:t xml:space="preserve"> </w:t>
      </w:r>
      <w:r w:rsidR="00E12E98">
        <w:t>S</w:t>
      </w:r>
      <w:r w:rsidR="00E06E24">
        <w:t>ubmit your resume</w:t>
      </w:r>
      <w:r w:rsidR="00040257">
        <w:t xml:space="preserve"> and</w:t>
      </w:r>
      <w:r w:rsidR="00F67291">
        <w:t xml:space="preserve"> salary requirement</w:t>
      </w:r>
      <w:r w:rsidR="0063349B">
        <w:t xml:space="preserve"> to</w:t>
      </w:r>
      <w:r w:rsidR="00BB29DC">
        <w:t xml:space="preserve"> </w:t>
      </w:r>
      <w:hyperlink r:id="rId7" w:history="1">
        <w:r w:rsidR="00BB29DC" w:rsidRPr="002D3C9B">
          <w:rPr>
            <w:rStyle w:val="Hyperlink"/>
          </w:rPr>
          <w:t>jlobenstine@mcra-md.com</w:t>
        </w:r>
      </w:hyperlink>
      <w:r w:rsidR="000F708B">
        <w:t xml:space="preserve"> </w:t>
      </w:r>
      <w:r w:rsidR="00BB29DC">
        <w:t xml:space="preserve"> and </w:t>
      </w:r>
      <w:hyperlink r:id="rId8" w:history="1">
        <w:r w:rsidR="00BB29DC" w:rsidRPr="002D3C9B">
          <w:rPr>
            <w:rStyle w:val="Hyperlink"/>
          </w:rPr>
          <w:t>ksilver@mcra-md.com</w:t>
        </w:r>
      </w:hyperlink>
      <w:r w:rsidR="00E66043">
        <w:t xml:space="preserve">, </w:t>
      </w:r>
      <w:r w:rsidR="00E66043" w:rsidRPr="00E66043">
        <w:t xml:space="preserve">or by mail to </w:t>
      </w:r>
      <w:r w:rsidR="00E66043">
        <w:t xml:space="preserve">MCRA, </w:t>
      </w:r>
      <w:r w:rsidR="00225348">
        <w:t>101 Monroe Street</w:t>
      </w:r>
      <w:r w:rsidR="00E66043" w:rsidRPr="00E66043">
        <w:t xml:space="preserve">, Suite </w:t>
      </w:r>
      <w:r w:rsidR="00C16A38">
        <w:t>410</w:t>
      </w:r>
      <w:r w:rsidR="00E66043" w:rsidRPr="00E66043">
        <w:t xml:space="preserve">, </w:t>
      </w:r>
      <w:r w:rsidR="00C16A38">
        <w:t>Rockville, MD 20850</w:t>
      </w:r>
      <w:r w:rsidR="00E66043" w:rsidRPr="00E66043">
        <w:t>; Attention: Human</w:t>
      </w:r>
      <w:r w:rsidR="00D7710F">
        <w:t xml:space="preserve"> Resources</w:t>
      </w:r>
      <w:r w:rsidR="006921BD">
        <w:t>.  MCRA is an equal opp</w:t>
      </w:r>
      <w:r w:rsidR="00C259AF">
        <w:t>ortunity employer.</w:t>
      </w:r>
    </w:p>
    <w:sectPr w:rsidR="00116CA6" w:rsidSect="00E675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5A7"/>
    <w:multiLevelType w:val="hybridMultilevel"/>
    <w:tmpl w:val="9A8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28BA"/>
    <w:multiLevelType w:val="hybridMultilevel"/>
    <w:tmpl w:val="350E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65541"/>
    <w:multiLevelType w:val="hybridMultilevel"/>
    <w:tmpl w:val="8E1C496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CDC2C69"/>
    <w:multiLevelType w:val="hybridMultilevel"/>
    <w:tmpl w:val="93826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84E17"/>
    <w:multiLevelType w:val="hybridMultilevel"/>
    <w:tmpl w:val="33B8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78F6"/>
    <w:multiLevelType w:val="hybridMultilevel"/>
    <w:tmpl w:val="8D48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E1692"/>
    <w:multiLevelType w:val="hybridMultilevel"/>
    <w:tmpl w:val="180CC5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40D4"/>
    <w:multiLevelType w:val="hybridMultilevel"/>
    <w:tmpl w:val="8904FDF4"/>
    <w:lvl w:ilvl="0" w:tplc="F124B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DB4"/>
    <w:multiLevelType w:val="hybridMultilevel"/>
    <w:tmpl w:val="ED7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952050">
    <w:abstractNumId w:val="5"/>
  </w:num>
  <w:num w:numId="2" w16cid:durableId="390688435">
    <w:abstractNumId w:val="8"/>
  </w:num>
  <w:num w:numId="3" w16cid:durableId="1248613862">
    <w:abstractNumId w:val="2"/>
  </w:num>
  <w:num w:numId="4" w16cid:durableId="1293249566">
    <w:abstractNumId w:val="4"/>
  </w:num>
  <w:num w:numId="5" w16cid:durableId="179242913">
    <w:abstractNumId w:val="6"/>
  </w:num>
  <w:num w:numId="6" w16cid:durableId="433093074">
    <w:abstractNumId w:val="3"/>
  </w:num>
  <w:num w:numId="7" w16cid:durableId="784664128">
    <w:abstractNumId w:val="7"/>
  </w:num>
  <w:num w:numId="8" w16cid:durableId="876628355">
    <w:abstractNumId w:val="1"/>
  </w:num>
  <w:num w:numId="9" w16cid:durableId="91593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A6"/>
    <w:rsid w:val="0001040D"/>
    <w:rsid w:val="000121DF"/>
    <w:rsid w:val="00027E23"/>
    <w:rsid w:val="00040257"/>
    <w:rsid w:val="00040670"/>
    <w:rsid w:val="000435A6"/>
    <w:rsid w:val="000538A4"/>
    <w:rsid w:val="000F708B"/>
    <w:rsid w:val="00111CD9"/>
    <w:rsid w:val="00116CA6"/>
    <w:rsid w:val="00136FC7"/>
    <w:rsid w:val="001607F1"/>
    <w:rsid w:val="001E14D5"/>
    <w:rsid w:val="001F6CD8"/>
    <w:rsid w:val="00207B38"/>
    <w:rsid w:val="00225348"/>
    <w:rsid w:val="0022735B"/>
    <w:rsid w:val="00231B5F"/>
    <w:rsid w:val="00245F5C"/>
    <w:rsid w:val="002B0F9A"/>
    <w:rsid w:val="002E75E2"/>
    <w:rsid w:val="00332ADB"/>
    <w:rsid w:val="00362305"/>
    <w:rsid w:val="0037417F"/>
    <w:rsid w:val="0039548E"/>
    <w:rsid w:val="003C0798"/>
    <w:rsid w:val="003C6FE7"/>
    <w:rsid w:val="00416FAE"/>
    <w:rsid w:val="00421DE6"/>
    <w:rsid w:val="004255BA"/>
    <w:rsid w:val="00441237"/>
    <w:rsid w:val="00470443"/>
    <w:rsid w:val="0047570B"/>
    <w:rsid w:val="004A5F1C"/>
    <w:rsid w:val="004D4C33"/>
    <w:rsid w:val="004E536F"/>
    <w:rsid w:val="0056457C"/>
    <w:rsid w:val="00587EE4"/>
    <w:rsid w:val="0061170F"/>
    <w:rsid w:val="0063349B"/>
    <w:rsid w:val="006521A3"/>
    <w:rsid w:val="006921BD"/>
    <w:rsid w:val="0069361A"/>
    <w:rsid w:val="006A596C"/>
    <w:rsid w:val="006C7791"/>
    <w:rsid w:val="006F310C"/>
    <w:rsid w:val="006F5335"/>
    <w:rsid w:val="00727D16"/>
    <w:rsid w:val="007441BE"/>
    <w:rsid w:val="007A746C"/>
    <w:rsid w:val="007B0761"/>
    <w:rsid w:val="007B5DE7"/>
    <w:rsid w:val="007E729F"/>
    <w:rsid w:val="00801D89"/>
    <w:rsid w:val="00803E25"/>
    <w:rsid w:val="00810B6C"/>
    <w:rsid w:val="00811A75"/>
    <w:rsid w:val="00822ACC"/>
    <w:rsid w:val="0082650E"/>
    <w:rsid w:val="00841ABE"/>
    <w:rsid w:val="00852998"/>
    <w:rsid w:val="00887E6A"/>
    <w:rsid w:val="00895C87"/>
    <w:rsid w:val="00897C88"/>
    <w:rsid w:val="00931150"/>
    <w:rsid w:val="0093125C"/>
    <w:rsid w:val="0096556D"/>
    <w:rsid w:val="009843F7"/>
    <w:rsid w:val="009B65C5"/>
    <w:rsid w:val="009C7672"/>
    <w:rsid w:val="00A27F4A"/>
    <w:rsid w:val="00A3092C"/>
    <w:rsid w:val="00A47018"/>
    <w:rsid w:val="00A5219C"/>
    <w:rsid w:val="00A61ABD"/>
    <w:rsid w:val="00A81E4E"/>
    <w:rsid w:val="00A921D8"/>
    <w:rsid w:val="00AB38A9"/>
    <w:rsid w:val="00AD4E8E"/>
    <w:rsid w:val="00AE29C0"/>
    <w:rsid w:val="00AE6112"/>
    <w:rsid w:val="00B754C3"/>
    <w:rsid w:val="00B761EE"/>
    <w:rsid w:val="00B81C6A"/>
    <w:rsid w:val="00B84C17"/>
    <w:rsid w:val="00B962FE"/>
    <w:rsid w:val="00BB29DC"/>
    <w:rsid w:val="00BC13EC"/>
    <w:rsid w:val="00C0215E"/>
    <w:rsid w:val="00C06CAB"/>
    <w:rsid w:val="00C145BB"/>
    <w:rsid w:val="00C16A38"/>
    <w:rsid w:val="00C259AF"/>
    <w:rsid w:val="00CB385B"/>
    <w:rsid w:val="00CB5102"/>
    <w:rsid w:val="00CD6F13"/>
    <w:rsid w:val="00D123DA"/>
    <w:rsid w:val="00D25B95"/>
    <w:rsid w:val="00D47E9B"/>
    <w:rsid w:val="00D551C5"/>
    <w:rsid w:val="00D64DD1"/>
    <w:rsid w:val="00D7710F"/>
    <w:rsid w:val="00DC3B8A"/>
    <w:rsid w:val="00DE610A"/>
    <w:rsid w:val="00E026B3"/>
    <w:rsid w:val="00E06E24"/>
    <w:rsid w:val="00E12E98"/>
    <w:rsid w:val="00E30FCF"/>
    <w:rsid w:val="00E615E9"/>
    <w:rsid w:val="00E66043"/>
    <w:rsid w:val="00E675F3"/>
    <w:rsid w:val="00E75760"/>
    <w:rsid w:val="00E905B0"/>
    <w:rsid w:val="00E90789"/>
    <w:rsid w:val="00EA75DB"/>
    <w:rsid w:val="00EC5FA4"/>
    <w:rsid w:val="00EC708B"/>
    <w:rsid w:val="00ED1681"/>
    <w:rsid w:val="00F16EE1"/>
    <w:rsid w:val="00F26C82"/>
    <w:rsid w:val="00F603AA"/>
    <w:rsid w:val="00F67291"/>
    <w:rsid w:val="00F74D49"/>
    <w:rsid w:val="00FB7498"/>
    <w:rsid w:val="00FD4D84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9F58"/>
  <w15:chartTrackingRefBased/>
  <w15:docId w15:val="{9DFFF198-EB42-4C9D-B41C-BF12945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lver@mcra-m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obenstine@mcra-m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ggolf.com/Courses/Northwest.aspx" TargetMode="External"/><Relationship Id="rId5" Type="http://schemas.openxmlformats.org/officeDocument/2006/relationships/hyperlink" Target="https://www.mcggolf.com/Play/footgolf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Khianti  Silver</dc:creator>
  <cp:keywords/>
  <dc:description/>
  <cp:lastModifiedBy>Jon Lobenstine</cp:lastModifiedBy>
  <cp:revision>6</cp:revision>
  <dcterms:created xsi:type="dcterms:W3CDTF">2022-07-14T19:28:00Z</dcterms:created>
  <dcterms:modified xsi:type="dcterms:W3CDTF">2022-07-14T19:52:00Z</dcterms:modified>
</cp:coreProperties>
</file>